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25" w:rsidRPr="00351825" w:rsidRDefault="00351825" w:rsidP="00351825">
      <w:pPr>
        <w:autoSpaceDE w:val="0"/>
        <w:autoSpaceDN w:val="0"/>
        <w:jc w:val="center"/>
        <w:rPr>
          <w:rFonts w:ascii="Garamond" w:hAnsi="Garamond"/>
          <w:b/>
          <w:sz w:val="32"/>
          <w:szCs w:val="32"/>
          <w:lang w:val="fr-FR"/>
        </w:rPr>
      </w:pPr>
      <w:r w:rsidRPr="00351825">
        <w:rPr>
          <w:rFonts w:ascii="Garamond" w:hAnsi="Garamond"/>
          <w:b/>
          <w:sz w:val="32"/>
          <w:szCs w:val="32"/>
          <w:lang w:val="fr-FR"/>
        </w:rPr>
        <w:t>Appel à communication</w:t>
      </w:r>
    </w:p>
    <w:p w:rsidR="00351825" w:rsidRDefault="00351825" w:rsidP="00351825">
      <w:pPr>
        <w:autoSpaceDE w:val="0"/>
        <w:autoSpaceDN w:val="0"/>
        <w:jc w:val="both"/>
        <w:rPr>
          <w:rFonts w:ascii="Garamond" w:hAnsi="Garamond"/>
          <w:sz w:val="24"/>
          <w:szCs w:val="24"/>
          <w:lang w:val="fr-FR"/>
        </w:rPr>
      </w:pPr>
    </w:p>
    <w:p w:rsidR="00351825" w:rsidRDefault="00351825" w:rsidP="00351825">
      <w:pPr>
        <w:autoSpaceDE w:val="0"/>
        <w:autoSpaceDN w:val="0"/>
        <w:jc w:val="both"/>
        <w:rPr>
          <w:rFonts w:ascii="Garamond" w:hAnsi="Garamond"/>
          <w:sz w:val="24"/>
          <w:szCs w:val="24"/>
          <w:lang w:val="fr-FR"/>
        </w:rPr>
      </w:pPr>
      <w:r>
        <w:rPr>
          <w:rFonts w:ascii="Garamond" w:hAnsi="Garamond"/>
          <w:sz w:val="24"/>
          <w:szCs w:val="24"/>
          <w:lang w:val="fr-FR"/>
        </w:rPr>
        <w:t>Chères doctorantes, chers doctorants,</w:t>
      </w:r>
    </w:p>
    <w:p w:rsidR="00351825" w:rsidRDefault="00351825" w:rsidP="00351825">
      <w:pPr>
        <w:autoSpaceDE w:val="0"/>
        <w:autoSpaceDN w:val="0"/>
        <w:jc w:val="both"/>
        <w:rPr>
          <w:rFonts w:ascii="Garamond" w:hAnsi="Garamond"/>
          <w:sz w:val="24"/>
          <w:szCs w:val="24"/>
          <w:lang w:val="fr-FR"/>
        </w:rPr>
      </w:pPr>
    </w:p>
    <w:p w:rsidR="00351825" w:rsidRDefault="00351825" w:rsidP="00351825">
      <w:pPr>
        <w:autoSpaceDE w:val="0"/>
        <w:autoSpaceDN w:val="0"/>
        <w:jc w:val="both"/>
        <w:rPr>
          <w:rFonts w:ascii="Garamond" w:hAnsi="Garamond"/>
          <w:sz w:val="24"/>
          <w:szCs w:val="24"/>
          <w:lang w:val="fr-FR"/>
        </w:rPr>
      </w:pPr>
      <w:r>
        <w:rPr>
          <w:rFonts w:ascii="Garamond" w:hAnsi="Garamond"/>
          <w:sz w:val="24"/>
          <w:szCs w:val="24"/>
          <w:lang w:val="fr-FR"/>
        </w:rPr>
        <w:t xml:space="preserve">Dans le cadre de votre formation doctorale, vous êtes vivement </w:t>
      </w:r>
      <w:proofErr w:type="spellStart"/>
      <w:r>
        <w:rPr>
          <w:rFonts w:ascii="Garamond" w:hAnsi="Garamond"/>
          <w:sz w:val="24"/>
          <w:szCs w:val="24"/>
          <w:lang w:val="fr-FR"/>
        </w:rPr>
        <w:t>encouragé</w:t>
      </w:r>
      <w:r>
        <w:rPr>
          <w:rFonts w:ascii="Garamond" w:hAnsi="Garamond"/>
          <w:sz w:val="24"/>
          <w:szCs w:val="24"/>
          <w:highlight w:val="white"/>
          <w:lang w:val="fr-FR"/>
        </w:rPr>
        <w:t>·</w:t>
      </w:r>
      <w:r>
        <w:rPr>
          <w:rFonts w:ascii="Garamond" w:hAnsi="Garamond"/>
          <w:sz w:val="24"/>
          <w:szCs w:val="24"/>
          <w:lang w:val="fr-FR"/>
        </w:rPr>
        <w:t>e</w:t>
      </w:r>
      <w:r>
        <w:rPr>
          <w:rFonts w:ascii="Garamond" w:hAnsi="Garamond"/>
          <w:sz w:val="24"/>
          <w:szCs w:val="24"/>
          <w:highlight w:val="white"/>
          <w:lang w:val="fr-FR"/>
        </w:rPr>
        <w:t>·</w:t>
      </w:r>
      <w:r>
        <w:rPr>
          <w:rFonts w:ascii="Garamond" w:hAnsi="Garamond"/>
          <w:sz w:val="24"/>
          <w:szCs w:val="24"/>
          <w:lang w:val="fr-FR"/>
        </w:rPr>
        <w:t>s</w:t>
      </w:r>
      <w:proofErr w:type="spellEnd"/>
      <w:r>
        <w:rPr>
          <w:rFonts w:ascii="Garamond" w:hAnsi="Garamond"/>
          <w:sz w:val="24"/>
          <w:szCs w:val="24"/>
          <w:lang w:val="fr-FR"/>
        </w:rPr>
        <w:t> à participer au colloque annuel interdisciplinaire en théologie qui aura lieu à la Fondation Crêt Bérard (VD), en hébergement complet, les 30-31 octobre 2018. Le thème de cette année est le suivant :</w:t>
      </w:r>
    </w:p>
    <w:p w:rsidR="00351825" w:rsidRDefault="00351825" w:rsidP="00351825">
      <w:pPr>
        <w:autoSpaceDE w:val="0"/>
        <w:autoSpaceDN w:val="0"/>
        <w:jc w:val="both"/>
        <w:rPr>
          <w:rFonts w:ascii="Garamond" w:hAnsi="Garamond"/>
          <w:sz w:val="24"/>
          <w:szCs w:val="24"/>
          <w:lang w:val="fr-FR"/>
        </w:rPr>
      </w:pPr>
    </w:p>
    <w:p w:rsidR="00351825" w:rsidRDefault="00351825" w:rsidP="00351825">
      <w:pPr>
        <w:autoSpaceDE w:val="0"/>
        <w:autoSpaceDN w:val="0"/>
        <w:jc w:val="both"/>
        <w:rPr>
          <w:rFonts w:ascii="Garamond" w:hAnsi="Garamond"/>
          <w:sz w:val="24"/>
          <w:szCs w:val="24"/>
          <w:lang w:val="fr-FR"/>
        </w:rPr>
      </w:pPr>
      <w:r>
        <w:rPr>
          <w:rFonts w:ascii="Garamond" w:hAnsi="Garamond"/>
          <w:i/>
          <w:iCs/>
          <w:sz w:val="24"/>
          <w:szCs w:val="24"/>
          <w:lang w:val="fr-FR"/>
        </w:rPr>
        <w:t>Guerre et paix : quels usages des textes ?</w:t>
      </w:r>
    </w:p>
    <w:p w:rsidR="00351825" w:rsidRDefault="00351825" w:rsidP="00351825">
      <w:pPr>
        <w:autoSpaceDE w:val="0"/>
        <w:autoSpaceDN w:val="0"/>
        <w:spacing w:before="100" w:after="100"/>
        <w:jc w:val="both"/>
        <w:rPr>
          <w:rFonts w:ascii="Garamond" w:hAnsi="Garamond"/>
          <w:sz w:val="24"/>
          <w:szCs w:val="24"/>
          <w:lang w:val="fr-FR"/>
        </w:rPr>
      </w:pPr>
      <w:r>
        <w:rPr>
          <w:rFonts w:ascii="Garamond" w:hAnsi="Garamond"/>
          <w:i/>
          <w:iCs/>
          <w:sz w:val="24"/>
          <w:szCs w:val="24"/>
          <w:lang w:val="fr-FR"/>
        </w:rPr>
        <w:t>"Il est plus facile de faire la guerre que la paix" (Georges Clémenceau). Cent ans après la fin de la première guerre mondiale, une paix durable reste à construire. Différemment, impliquant de nouveaux acteurs, territoires, discours et pratiques, les guerres sont toujours d'actualité, et elles posent un impératif de réflexion sur un sujet aussi complexe qu'exigeant. La théologie ne peut se soustraire à cette réflexion, notamment en ce qui concerne l'utilisation des textes qui sont investis d'une autorité religieuse. Idéologies guerrières et idéologies iréniques sont souvent nourries par des références à des textes saints, qui sont en général différents mais peuvent aussi parfois être les mêmes. Ces idéologies peuvent également être à l’origine d</w:t>
      </w:r>
      <w:bookmarkStart w:id="0" w:name="_GoBack"/>
      <w:bookmarkEnd w:id="0"/>
      <w:r>
        <w:rPr>
          <w:rFonts w:ascii="Garamond" w:hAnsi="Garamond"/>
          <w:i/>
          <w:iCs/>
          <w:sz w:val="24"/>
          <w:szCs w:val="24"/>
          <w:lang w:val="fr-FR"/>
        </w:rPr>
        <w:t xml:space="preserve">e la création de nouveaux textes de référence. La pluralité des textes eux-mêmes ainsi que la diversité de leurs interprétations soulèvent le problème de la manière dont il convient de les approcher dans le cadre d'une réflexion la plus équilibrée possible sur le sujet délicat de la guerre et de la paix. Ce colloque rassemblera donc des jeunes chercheuses et chercheurs, ainsi que des spécialistes </w:t>
      </w:r>
      <w:proofErr w:type="spellStart"/>
      <w:r>
        <w:rPr>
          <w:rFonts w:ascii="Garamond" w:hAnsi="Garamond"/>
          <w:i/>
          <w:iCs/>
          <w:sz w:val="24"/>
          <w:szCs w:val="24"/>
          <w:lang w:val="fr-FR"/>
        </w:rPr>
        <w:t>confirmé</w:t>
      </w:r>
      <w:r>
        <w:rPr>
          <w:rFonts w:ascii="Garamond" w:hAnsi="Garamond"/>
          <w:sz w:val="24"/>
          <w:szCs w:val="24"/>
          <w:highlight w:val="white"/>
          <w:lang w:val="fr-FR"/>
        </w:rPr>
        <w:t>·</w:t>
      </w:r>
      <w:r>
        <w:rPr>
          <w:rFonts w:ascii="Garamond" w:hAnsi="Garamond"/>
          <w:i/>
          <w:iCs/>
          <w:sz w:val="24"/>
          <w:szCs w:val="24"/>
          <w:lang w:val="fr-FR"/>
        </w:rPr>
        <w:t>e</w:t>
      </w:r>
      <w:r>
        <w:rPr>
          <w:rFonts w:ascii="Garamond" w:hAnsi="Garamond"/>
          <w:sz w:val="24"/>
          <w:szCs w:val="24"/>
          <w:highlight w:val="white"/>
          <w:lang w:val="fr-FR"/>
        </w:rPr>
        <w:t>·</w:t>
      </w:r>
      <w:r>
        <w:rPr>
          <w:rFonts w:ascii="Garamond" w:hAnsi="Garamond"/>
          <w:i/>
          <w:iCs/>
          <w:sz w:val="24"/>
          <w:szCs w:val="24"/>
          <w:lang w:val="fr-FR"/>
        </w:rPr>
        <w:t>s</w:t>
      </w:r>
      <w:proofErr w:type="spellEnd"/>
      <w:r>
        <w:rPr>
          <w:rFonts w:ascii="Garamond" w:hAnsi="Garamond"/>
          <w:i/>
          <w:iCs/>
          <w:sz w:val="24"/>
          <w:szCs w:val="24"/>
          <w:lang w:val="fr-FR"/>
        </w:rPr>
        <w:t xml:space="preserve"> travaillant dans des champs liés à la théologie afin d'étudier sous différents angles et méthodologies l'utilisation des textes d'autorité dans les discours de guerre et de paix. Ce sera l'occasion de faire dialoguer des démarches aussi diverses que la philologie, l'histoire, la philosophie, l'éthique, la systématique ou la théologie pratique autour d'une question dont la pertinence ressort à la fois de l'histoire de la théologie et de l'actualité.</w:t>
      </w:r>
    </w:p>
    <w:p w:rsidR="00351825" w:rsidRDefault="00351825" w:rsidP="00351825">
      <w:pPr>
        <w:autoSpaceDE w:val="0"/>
        <w:autoSpaceDN w:val="0"/>
        <w:jc w:val="both"/>
        <w:rPr>
          <w:rFonts w:ascii="Garamond" w:hAnsi="Garamond"/>
          <w:sz w:val="24"/>
          <w:szCs w:val="24"/>
          <w:lang w:val="fr-FR"/>
        </w:rPr>
      </w:pPr>
    </w:p>
    <w:p w:rsidR="00351825" w:rsidRPr="00351825" w:rsidRDefault="00351825" w:rsidP="00351825">
      <w:pPr>
        <w:autoSpaceDE w:val="0"/>
        <w:autoSpaceDN w:val="0"/>
        <w:jc w:val="both"/>
        <w:rPr>
          <w:rFonts w:ascii="Garamond" w:hAnsi="Garamond"/>
          <w:b/>
          <w:sz w:val="24"/>
          <w:szCs w:val="24"/>
          <w:lang w:val="fr-FR"/>
        </w:rPr>
      </w:pPr>
      <w:r w:rsidRPr="00351825">
        <w:rPr>
          <w:rFonts w:ascii="Garamond" w:hAnsi="Garamond"/>
          <w:b/>
          <w:sz w:val="24"/>
          <w:szCs w:val="24"/>
          <w:lang w:val="fr-FR"/>
        </w:rPr>
        <w:t>Pour présenter une contribution à ce colloque, vous pouvez envoyer d'ici au 15 juin une proposition de contribution d'environ 250 mots aux membres du comité d’organisation:</w:t>
      </w:r>
    </w:p>
    <w:p w:rsidR="00351825" w:rsidRDefault="00351825" w:rsidP="00351825">
      <w:pPr>
        <w:autoSpaceDE w:val="0"/>
        <w:autoSpaceDN w:val="0"/>
        <w:jc w:val="both"/>
        <w:rPr>
          <w:rFonts w:ascii="Garamond" w:hAnsi="Garamond"/>
          <w:sz w:val="24"/>
          <w:szCs w:val="24"/>
          <w:lang w:val="fr-FR"/>
        </w:rPr>
      </w:pPr>
    </w:p>
    <w:p w:rsidR="00351825" w:rsidRDefault="00351825" w:rsidP="00351825">
      <w:pPr>
        <w:autoSpaceDE w:val="0"/>
        <w:autoSpaceDN w:val="0"/>
        <w:jc w:val="both"/>
        <w:rPr>
          <w:rFonts w:ascii="Garamond" w:hAnsi="Garamond"/>
          <w:sz w:val="24"/>
          <w:szCs w:val="24"/>
          <w:lang w:val="en-GB"/>
        </w:rPr>
      </w:pPr>
      <w:r>
        <w:rPr>
          <w:rFonts w:ascii="Garamond" w:hAnsi="Garamond"/>
          <w:sz w:val="24"/>
          <w:szCs w:val="24"/>
          <w:lang w:val="en-GB"/>
        </w:rPr>
        <w:t xml:space="preserve">Innocent </w:t>
      </w:r>
      <w:proofErr w:type="spellStart"/>
      <w:r>
        <w:rPr>
          <w:rFonts w:ascii="Garamond" w:hAnsi="Garamond"/>
          <w:sz w:val="24"/>
          <w:szCs w:val="24"/>
          <w:lang w:val="en-GB"/>
        </w:rPr>
        <w:t>Himbaza</w:t>
      </w:r>
      <w:proofErr w:type="spellEnd"/>
      <w:r>
        <w:rPr>
          <w:rFonts w:ascii="Garamond" w:hAnsi="Garamond"/>
          <w:sz w:val="24"/>
          <w:szCs w:val="24"/>
          <w:lang w:val="en-GB"/>
        </w:rPr>
        <w:t xml:space="preserve"> (</w:t>
      </w:r>
      <w:hyperlink r:id="rId4" w:history="1">
        <w:r>
          <w:rPr>
            <w:rStyle w:val="Lienhypertexte"/>
            <w:rFonts w:ascii="Garamond" w:hAnsi="Garamond"/>
            <w:sz w:val="24"/>
            <w:szCs w:val="24"/>
            <w:lang w:val="en-GB"/>
          </w:rPr>
          <w:t>Innocent.Himbaza@unifr.ch</w:t>
        </w:r>
      </w:hyperlink>
      <w:r>
        <w:rPr>
          <w:rFonts w:ascii="Garamond" w:hAnsi="Garamond"/>
          <w:sz w:val="24"/>
          <w:szCs w:val="24"/>
          <w:lang w:val="en-GB"/>
        </w:rPr>
        <w:t>)</w:t>
      </w:r>
    </w:p>
    <w:p w:rsidR="00351825" w:rsidRDefault="00351825" w:rsidP="00351825">
      <w:pPr>
        <w:autoSpaceDE w:val="0"/>
        <w:autoSpaceDN w:val="0"/>
        <w:jc w:val="both"/>
        <w:rPr>
          <w:rFonts w:ascii="Garamond" w:hAnsi="Garamond"/>
          <w:sz w:val="24"/>
          <w:szCs w:val="24"/>
          <w:lang w:val="fr-FR"/>
        </w:rPr>
      </w:pPr>
      <w:r>
        <w:rPr>
          <w:rFonts w:ascii="Garamond" w:hAnsi="Garamond"/>
          <w:sz w:val="24"/>
          <w:szCs w:val="24"/>
          <w:lang w:val="fr-FR"/>
        </w:rPr>
        <w:t>Kévin Buton-Maquet (</w:t>
      </w:r>
      <w:hyperlink r:id="rId5" w:history="1">
        <w:r>
          <w:rPr>
            <w:rStyle w:val="Lienhypertexte"/>
            <w:rFonts w:ascii="Garamond" w:hAnsi="Garamond"/>
            <w:sz w:val="24"/>
            <w:szCs w:val="24"/>
            <w:lang w:val="fr-FR"/>
          </w:rPr>
          <w:t>Kevin.Buton@unige.ch</w:t>
        </w:r>
      </w:hyperlink>
      <w:r>
        <w:rPr>
          <w:rFonts w:ascii="Garamond" w:hAnsi="Garamond"/>
          <w:sz w:val="24"/>
          <w:szCs w:val="24"/>
          <w:lang w:val="fr-FR"/>
        </w:rPr>
        <w:t>)</w:t>
      </w:r>
    </w:p>
    <w:p w:rsidR="00351825" w:rsidRDefault="00351825" w:rsidP="00351825">
      <w:pPr>
        <w:autoSpaceDE w:val="0"/>
        <w:autoSpaceDN w:val="0"/>
        <w:jc w:val="both"/>
        <w:rPr>
          <w:rFonts w:ascii="Garamond" w:hAnsi="Garamond"/>
          <w:sz w:val="24"/>
          <w:szCs w:val="24"/>
          <w:lang w:val="es-ES"/>
        </w:rPr>
      </w:pPr>
      <w:r>
        <w:rPr>
          <w:rFonts w:ascii="Garamond" w:hAnsi="Garamond"/>
          <w:sz w:val="24"/>
          <w:szCs w:val="24"/>
          <w:lang w:val="es-ES"/>
        </w:rPr>
        <w:t>Hervé Gonzalez (</w:t>
      </w:r>
      <w:hyperlink r:id="rId6" w:history="1">
        <w:r>
          <w:rPr>
            <w:rStyle w:val="Lienhypertexte"/>
            <w:rFonts w:ascii="Garamond" w:hAnsi="Garamond"/>
            <w:sz w:val="24"/>
            <w:szCs w:val="24"/>
            <w:lang w:val="es-ES"/>
          </w:rPr>
          <w:t>herve.gonzalez@unil.ch</w:t>
        </w:r>
      </w:hyperlink>
      <w:r>
        <w:rPr>
          <w:rFonts w:ascii="Garamond" w:hAnsi="Garamond"/>
          <w:sz w:val="24"/>
          <w:szCs w:val="24"/>
          <w:lang w:val="es-ES"/>
        </w:rPr>
        <w:t>)</w:t>
      </w:r>
    </w:p>
    <w:p w:rsidR="00BF0B0D" w:rsidRPr="00351825" w:rsidRDefault="00BF0B0D">
      <w:pPr>
        <w:rPr>
          <w:lang w:val="es-ES"/>
        </w:rPr>
      </w:pPr>
    </w:p>
    <w:sectPr w:rsidR="00BF0B0D" w:rsidRPr="00351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25"/>
    <w:rsid w:val="00351825"/>
    <w:rsid w:val="00BF0B0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53A6"/>
  <w15:chartTrackingRefBased/>
  <w15:docId w15:val="{872AFDFE-FF8A-4E5E-B2E8-66024E0F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825"/>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18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9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ve.gonzalez@unil.ch" TargetMode="External"/><Relationship Id="rId5" Type="http://schemas.openxmlformats.org/officeDocument/2006/relationships/hyperlink" Target="mailto:Kevin.Buton@unige.ch" TargetMode="External"/><Relationship Id="rId4" Type="http://schemas.openxmlformats.org/officeDocument/2006/relationships/hyperlink" Target="mailto:Innocent.Himbaza@unif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2070</Characters>
  <Application>Microsoft Office Word</Application>
  <DocSecurity>0</DocSecurity>
  <Lines>17</Lines>
  <Paragraphs>4</Paragraphs>
  <ScaleCrop>false</ScaleCrop>
  <Company>Université de Genève</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Ghazaryan Drissi</dc:creator>
  <cp:keywords/>
  <dc:description/>
  <cp:lastModifiedBy>Ani Ghazaryan Drissi</cp:lastModifiedBy>
  <cp:revision>1</cp:revision>
  <dcterms:created xsi:type="dcterms:W3CDTF">2018-06-04T12:13:00Z</dcterms:created>
  <dcterms:modified xsi:type="dcterms:W3CDTF">2018-06-04T12:15:00Z</dcterms:modified>
</cp:coreProperties>
</file>